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615" w:rsidRDefault="00720615" w:rsidP="00720615">
      <w:pPr>
        <w:rPr>
          <w:rFonts w:ascii="Times" w:hAnsi="Times"/>
        </w:rPr>
      </w:pPr>
    </w:p>
    <w:p w:rsidR="00720615" w:rsidRDefault="00720615" w:rsidP="00720615">
      <w:pPr>
        <w:tabs>
          <w:tab w:val="clear" w:pos="426"/>
          <w:tab w:val="clear" w:pos="851"/>
          <w:tab w:val="left" w:pos="0"/>
        </w:tabs>
        <w:spacing w:line="360" w:lineRule="atLeast"/>
        <w:jc w:val="left"/>
        <w:rPr>
          <w:rFonts w:ascii="Times New Roman" w:hAnsi="Times New Roman"/>
          <w:b/>
        </w:rPr>
      </w:pPr>
    </w:p>
    <w:p w:rsidR="00720615" w:rsidRPr="00240F7E" w:rsidRDefault="00720615" w:rsidP="00720615">
      <w:pPr>
        <w:tabs>
          <w:tab w:val="clear" w:pos="426"/>
          <w:tab w:val="clear" w:pos="851"/>
          <w:tab w:val="left" w:pos="0"/>
        </w:tabs>
        <w:spacing w:line="360" w:lineRule="atLeast"/>
        <w:jc w:val="left"/>
        <w:rPr>
          <w:rFonts w:ascii="Times New Roman" w:hAnsi="Times New Roman"/>
          <w:b/>
        </w:rPr>
      </w:pPr>
    </w:p>
    <w:tbl>
      <w:tblPr>
        <w:tblW w:w="0" w:type="auto"/>
        <w:tblLayout w:type="fixed"/>
        <w:tblCellMar>
          <w:left w:w="70" w:type="dxa"/>
          <w:right w:w="70" w:type="dxa"/>
        </w:tblCellMar>
        <w:tblLook w:val="0000"/>
      </w:tblPr>
      <w:tblGrid>
        <w:gridCol w:w="2055"/>
        <w:gridCol w:w="47"/>
        <w:gridCol w:w="7587"/>
        <w:gridCol w:w="47"/>
        <w:gridCol w:w="93"/>
      </w:tblGrid>
      <w:tr w:rsidR="00720615" w:rsidRPr="00240F7E" w:rsidTr="007646AE">
        <w:trPr>
          <w:gridAfter w:val="2"/>
          <w:wAfter w:w="140" w:type="dxa"/>
        </w:trPr>
        <w:tc>
          <w:tcPr>
            <w:tcW w:w="2055" w:type="dxa"/>
          </w:tcPr>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b/>
              </w:rPr>
              <w:t>TOP 1:</w:t>
            </w:r>
          </w:p>
        </w:tc>
        <w:tc>
          <w:tcPr>
            <w:tcW w:w="7634"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b/>
              </w:rPr>
            </w:pPr>
            <w:r w:rsidRPr="00240F7E">
              <w:rPr>
                <w:rFonts w:ascii="Times New Roman" w:hAnsi="Times New Roman"/>
                <w:b/>
              </w:rPr>
              <w:t>Prüfung der Erfolgsaussichten eines neuen NPD-Verbotsverfahrens</w:t>
            </w:r>
          </w:p>
        </w:tc>
      </w:tr>
      <w:tr w:rsidR="00720615" w:rsidRPr="00240F7E" w:rsidTr="007646AE">
        <w:tc>
          <w:tcPr>
            <w:tcW w:w="9829" w:type="dxa"/>
            <w:gridSpan w:val="5"/>
          </w:tcPr>
          <w:p w:rsidR="00720615" w:rsidRPr="00240F7E" w:rsidRDefault="00720615" w:rsidP="007646AE">
            <w:pPr>
              <w:tabs>
                <w:tab w:val="clear" w:pos="426"/>
                <w:tab w:val="clear" w:pos="851"/>
                <w:tab w:val="left" w:pos="0"/>
              </w:tabs>
              <w:spacing w:line="360" w:lineRule="atLeast"/>
              <w:rPr>
                <w:rFonts w:ascii="Times New Roman" w:hAnsi="Times New Roman"/>
                <w:b/>
              </w:rPr>
            </w:pPr>
          </w:p>
        </w:tc>
      </w:tr>
      <w:tr w:rsidR="00720615" w:rsidRPr="00240F7E" w:rsidTr="007646AE">
        <w:trPr>
          <w:gridAfter w:val="1"/>
          <w:wAfter w:w="93" w:type="dxa"/>
        </w:trPr>
        <w:tc>
          <w:tcPr>
            <w:tcW w:w="2102"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rPr>
              <w:t>Berichterstattung:</w:t>
            </w:r>
          </w:p>
        </w:tc>
        <w:tc>
          <w:tcPr>
            <w:tcW w:w="7634"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Pr>
                <w:rFonts w:ascii="Times New Roman" w:hAnsi="Times New Roman"/>
              </w:rPr>
              <w:t>Vorsitzender/</w:t>
            </w:r>
            <w:r w:rsidRPr="00240F7E">
              <w:rPr>
                <w:rFonts w:ascii="Times New Roman" w:hAnsi="Times New Roman"/>
              </w:rPr>
              <w:t>Sachsen-Anhalt</w:t>
            </w:r>
            <w:r w:rsidRPr="00240F7E" w:rsidDel="00BF461C">
              <w:rPr>
                <w:rFonts w:ascii="Times New Roman" w:hAnsi="Times New Roman"/>
              </w:rPr>
              <w:t xml:space="preserve"> </w:t>
            </w:r>
          </w:p>
        </w:tc>
      </w:tr>
      <w:tr w:rsidR="00720615" w:rsidRPr="00240F7E" w:rsidTr="007646AE">
        <w:trPr>
          <w:gridAfter w:val="1"/>
          <w:wAfter w:w="93" w:type="dxa"/>
        </w:trPr>
        <w:tc>
          <w:tcPr>
            <w:tcW w:w="2102"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rPr>
              <w:t>Hinweis:</w:t>
            </w:r>
          </w:p>
        </w:tc>
        <w:tc>
          <w:tcPr>
            <w:tcW w:w="7634" w:type="dxa"/>
            <w:gridSpan w:val="2"/>
          </w:tcPr>
          <w:p w:rsidR="00720615" w:rsidRPr="00240F7E" w:rsidRDefault="00720615" w:rsidP="007646AE">
            <w:pPr>
              <w:spacing w:line="360" w:lineRule="atLeast"/>
              <w:rPr>
                <w:rFonts w:ascii="Times New Roman" w:hAnsi="Times New Roman"/>
              </w:rPr>
            </w:pPr>
            <w:r w:rsidRPr="00240F7E">
              <w:rPr>
                <w:rFonts w:ascii="Times New Roman" w:hAnsi="Times New Roman"/>
              </w:rPr>
              <w:t>IMK am 08./</w:t>
            </w:r>
            <w:smartTag w:uri="urn:schemas-microsoft-com:office:smarttags" w:element="date">
              <w:smartTagPr>
                <w:attr w:name="Year" w:val="11"/>
                <w:attr w:name="Day" w:val="09"/>
                <w:attr w:name="Month" w:val="12"/>
                <w:attr w:name="ls" w:val="trans"/>
              </w:smartTagPr>
              <w:r w:rsidRPr="00240F7E">
                <w:rPr>
                  <w:rFonts w:ascii="Times New Roman" w:hAnsi="Times New Roman"/>
                </w:rPr>
                <w:t>09.12.11</w:t>
              </w:r>
            </w:smartTag>
            <w:r w:rsidRPr="00240F7E">
              <w:rPr>
                <w:rFonts w:ascii="Times New Roman" w:hAnsi="Times New Roman"/>
              </w:rPr>
              <w:t xml:space="preserve"> zu TOP </w:t>
            </w:r>
            <w:r>
              <w:rPr>
                <w:rFonts w:ascii="Times New Roman" w:hAnsi="Times New Roman"/>
              </w:rPr>
              <w:t>4</w:t>
            </w:r>
            <w:r w:rsidRPr="00240F7E">
              <w:rPr>
                <w:rFonts w:ascii="Times New Roman" w:hAnsi="Times New Roman"/>
              </w:rPr>
              <w:t>2</w:t>
            </w:r>
          </w:p>
          <w:p w:rsidR="00720615" w:rsidRPr="00240F7E" w:rsidRDefault="00720615" w:rsidP="007646AE">
            <w:pPr>
              <w:widowControl/>
              <w:spacing w:line="360" w:lineRule="atLeast"/>
              <w:rPr>
                <w:rFonts w:ascii="Times New Roman" w:hAnsi="Times New Roman"/>
              </w:rPr>
            </w:pPr>
            <w:r w:rsidRPr="00240F7E">
              <w:rPr>
                <w:rFonts w:ascii="Times New Roman" w:hAnsi="Times New Roman"/>
              </w:rPr>
              <w:t xml:space="preserve">MPK am </w:t>
            </w:r>
            <w:smartTag w:uri="urn:schemas-microsoft-com:office:smarttags" w:element="date">
              <w:smartTagPr>
                <w:attr w:name="Year" w:val="11"/>
                <w:attr w:name="Day" w:val="15"/>
                <w:attr w:name="Month" w:val="12"/>
                <w:attr w:name="ls" w:val="trans"/>
              </w:smartTagPr>
              <w:r w:rsidRPr="00240F7E">
                <w:rPr>
                  <w:rFonts w:ascii="Times New Roman" w:hAnsi="Times New Roman"/>
                </w:rPr>
                <w:t>15.12.11</w:t>
              </w:r>
            </w:smartTag>
            <w:r w:rsidRPr="00240F7E">
              <w:rPr>
                <w:rFonts w:ascii="Times New Roman" w:hAnsi="Times New Roman"/>
              </w:rPr>
              <w:t xml:space="preserve"> zu TOP 7</w:t>
            </w:r>
          </w:p>
          <w:p w:rsidR="00720615" w:rsidRDefault="00720615" w:rsidP="007646AE">
            <w:pPr>
              <w:widowControl/>
              <w:spacing w:line="360" w:lineRule="atLeast"/>
              <w:rPr>
                <w:rFonts w:ascii="Times New Roman" w:hAnsi="Times New Roman"/>
              </w:rPr>
            </w:pPr>
            <w:r w:rsidRPr="00240F7E">
              <w:rPr>
                <w:rFonts w:ascii="Times New Roman" w:hAnsi="Times New Roman"/>
              </w:rPr>
              <w:t xml:space="preserve">IMK am </w:t>
            </w:r>
            <w:smartTag w:uri="urn:schemas-microsoft-com:office:smarttags" w:element="date">
              <w:smartTagPr>
                <w:attr w:name="Year" w:val="2012"/>
                <w:attr w:name="Day" w:val="22"/>
                <w:attr w:name="Month" w:val="03"/>
                <w:attr w:name="ls" w:val="trans"/>
              </w:smartTagPr>
              <w:r w:rsidRPr="00240F7E">
                <w:rPr>
                  <w:rFonts w:ascii="Times New Roman" w:hAnsi="Times New Roman"/>
                </w:rPr>
                <w:t>22.03.2012</w:t>
              </w:r>
            </w:smartTag>
            <w:r w:rsidRPr="00240F7E">
              <w:rPr>
                <w:rFonts w:ascii="Times New Roman" w:hAnsi="Times New Roman"/>
              </w:rPr>
              <w:t xml:space="preserve"> zu TOP 1</w:t>
            </w:r>
          </w:p>
          <w:p w:rsidR="00720615" w:rsidRPr="00240F7E" w:rsidRDefault="00720615" w:rsidP="007646AE">
            <w:pPr>
              <w:widowControl/>
              <w:spacing w:line="360" w:lineRule="atLeast"/>
              <w:rPr>
                <w:rFonts w:ascii="Times New Roman" w:hAnsi="Times New Roman"/>
              </w:rPr>
            </w:pPr>
            <w:r>
              <w:rPr>
                <w:rFonts w:ascii="Times New Roman" w:hAnsi="Times New Roman"/>
              </w:rPr>
              <w:t xml:space="preserve">MPK am </w:t>
            </w:r>
            <w:smartTag w:uri="urn:schemas-microsoft-com:office:smarttags" w:element="date">
              <w:smartTagPr>
                <w:attr w:name="Year" w:val="2012"/>
                <w:attr w:name="Day" w:val="29"/>
                <w:attr w:name="Month" w:val="03"/>
                <w:attr w:name="ls" w:val="trans"/>
              </w:smartTagPr>
              <w:r>
                <w:rPr>
                  <w:rFonts w:ascii="Times New Roman" w:hAnsi="Times New Roman"/>
                </w:rPr>
                <w:t>29.03.2012</w:t>
              </w:r>
            </w:smartTag>
            <w:r>
              <w:rPr>
                <w:rFonts w:ascii="Times New Roman" w:hAnsi="Times New Roman"/>
              </w:rPr>
              <w:t xml:space="preserve"> zu TOP K 1</w:t>
            </w:r>
          </w:p>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rPr>
              <w:t xml:space="preserve">Beschlussvorschlag </w:t>
            </w:r>
            <w:r w:rsidRPr="00956BDF">
              <w:rPr>
                <w:rFonts w:ascii="Times New Roman" w:hAnsi="Times New Roman"/>
              </w:rPr>
              <w:t xml:space="preserve">IM MV </w:t>
            </w:r>
            <w:r>
              <w:rPr>
                <w:rFonts w:ascii="Times New Roman" w:hAnsi="Times New Roman"/>
              </w:rPr>
              <w:t xml:space="preserve">und MI ST </w:t>
            </w:r>
            <w:r w:rsidRPr="00956BDF">
              <w:rPr>
                <w:rFonts w:ascii="Times New Roman" w:hAnsi="Times New Roman"/>
              </w:rPr>
              <w:t>vom 30.11.12</w:t>
            </w:r>
          </w:p>
        </w:tc>
      </w:tr>
      <w:tr w:rsidR="00720615" w:rsidRPr="00240F7E" w:rsidTr="007646AE">
        <w:trPr>
          <w:gridAfter w:val="1"/>
          <w:wAfter w:w="93" w:type="dxa"/>
        </w:trPr>
        <w:tc>
          <w:tcPr>
            <w:tcW w:w="2102"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rPr>
              <w:t>Veröffentlichung:</w:t>
            </w:r>
          </w:p>
        </w:tc>
        <w:tc>
          <w:tcPr>
            <w:tcW w:w="7634"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rPr>
              <w:t>Freigabe Beschluss</w:t>
            </w:r>
            <w:r>
              <w:rPr>
                <w:rFonts w:ascii="Times New Roman" w:hAnsi="Times New Roman"/>
              </w:rPr>
              <w:t xml:space="preserve">, </w:t>
            </w:r>
            <w:r w:rsidRPr="00240F7E">
              <w:rPr>
                <w:rFonts w:ascii="Times New Roman" w:hAnsi="Times New Roman"/>
              </w:rPr>
              <w:t>keine Freigabe Bericht, Materialsammlung</w:t>
            </w:r>
          </w:p>
        </w:tc>
      </w:tr>
      <w:tr w:rsidR="00720615" w:rsidRPr="00240F7E" w:rsidTr="007646AE">
        <w:trPr>
          <w:gridAfter w:val="1"/>
          <w:wAfter w:w="93" w:type="dxa"/>
        </w:trPr>
        <w:tc>
          <w:tcPr>
            <w:tcW w:w="2102"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sidRPr="00240F7E">
              <w:rPr>
                <w:rFonts w:ascii="Times New Roman" w:hAnsi="Times New Roman"/>
              </w:rPr>
              <w:t>Az.:</w:t>
            </w:r>
          </w:p>
        </w:tc>
        <w:tc>
          <w:tcPr>
            <w:tcW w:w="7634" w:type="dxa"/>
            <w:gridSpan w:val="2"/>
          </w:tcPr>
          <w:p w:rsidR="00720615" w:rsidRPr="00240F7E" w:rsidRDefault="00720615" w:rsidP="007646AE">
            <w:pPr>
              <w:tabs>
                <w:tab w:val="clear" w:pos="426"/>
                <w:tab w:val="clear" w:pos="851"/>
                <w:tab w:val="left" w:pos="0"/>
              </w:tabs>
              <w:spacing w:line="360" w:lineRule="atLeast"/>
              <w:rPr>
                <w:rFonts w:ascii="Times New Roman" w:hAnsi="Times New Roman"/>
              </w:rPr>
            </w:pPr>
            <w:r>
              <w:rPr>
                <w:rFonts w:ascii="Times New Roman" w:hAnsi="Times New Roman"/>
              </w:rPr>
              <w:t xml:space="preserve">VI D 4.3 </w:t>
            </w:r>
          </w:p>
        </w:tc>
      </w:tr>
    </w:tbl>
    <w:p w:rsidR="00720615" w:rsidRDefault="00720615" w:rsidP="00720615">
      <w:pPr>
        <w:tabs>
          <w:tab w:val="clear" w:pos="426"/>
          <w:tab w:val="clear" w:pos="851"/>
          <w:tab w:val="left" w:pos="0"/>
        </w:tabs>
        <w:spacing w:line="360" w:lineRule="atLeast"/>
        <w:jc w:val="left"/>
        <w:rPr>
          <w:rFonts w:ascii="Times New Roman" w:hAnsi="Times New Roman"/>
          <w:b/>
        </w:rPr>
      </w:pPr>
    </w:p>
    <w:p w:rsidR="00720615" w:rsidRDefault="00720615" w:rsidP="00720615">
      <w:pPr>
        <w:spacing w:line="360" w:lineRule="atLeast"/>
        <w:jc w:val="center"/>
        <w:rPr>
          <w:rFonts w:ascii="Times" w:hAnsi="Times"/>
          <w:b/>
        </w:rPr>
      </w:pPr>
    </w:p>
    <w:p w:rsidR="00720615" w:rsidRDefault="00720615" w:rsidP="00720615">
      <w:pPr>
        <w:spacing w:line="360" w:lineRule="atLeast"/>
        <w:jc w:val="center"/>
        <w:rPr>
          <w:rFonts w:ascii="Times" w:hAnsi="Times"/>
          <w:b/>
        </w:rPr>
      </w:pPr>
      <w:r>
        <w:rPr>
          <w:rFonts w:ascii="Times" w:hAnsi="Times"/>
          <w:b/>
        </w:rPr>
        <w:t>Beschluss:</w:t>
      </w:r>
    </w:p>
    <w:p w:rsidR="00720615" w:rsidRDefault="00720615" w:rsidP="00720615">
      <w:pPr>
        <w:rPr>
          <w:rFonts w:ascii="Times" w:hAnsi="Times"/>
        </w:rPr>
      </w:pPr>
    </w:p>
    <w:p w:rsidR="00720615" w:rsidRPr="00166E22" w:rsidRDefault="00720615" w:rsidP="00720615">
      <w:pPr>
        <w:tabs>
          <w:tab w:val="left" w:pos="0"/>
        </w:tabs>
        <w:spacing w:line="360" w:lineRule="atLeast"/>
        <w:ind w:left="426" w:hanging="426"/>
        <w:rPr>
          <w:rFonts w:ascii="Times" w:hAnsi="Times"/>
        </w:rPr>
      </w:pPr>
      <w:r w:rsidRPr="009F1B41">
        <w:rPr>
          <w:rFonts w:ascii="Times" w:hAnsi="Times"/>
        </w:rPr>
        <w:t>1.</w:t>
      </w:r>
      <w:r w:rsidRPr="009F1B41">
        <w:rPr>
          <w:rFonts w:ascii="Times" w:hAnsi="Times"/>
        </w:rPr>
        <w:tab/>
      </w:r>
      <w:r>
        <w:rPr>
          <w:rFonts w:ascii="Times" w:hAnsi="Times"/>
        </w:rPr>
        <w:t xml:space="preserve">Die Innenminister und -senatoren der Länder halten </w:t>
      </w:r>
      <w:r w:rsidRPr="00166E22">
        <w:rPr>
          <w:rFonts w:ascii="Times" w:hAnsi="Times"/>
        </w:rPr>
        <w:t xml:space="preserve">es für geboten, ein Verbot der "Nationaldemokratischen Partei Deutschlands" </w:t>
      </w:r>
      <w:r>
        <w:rPr>
          <w:rFonts w:ascii="Times" w:hAnsi="Times"/>
        </w:rPr>
        <w:t xml:space="preserve">(NPD) </w:t>
      </w:r>
      <w:r w:rsidRPr="00166E22">
        <w:rPr>
          <w:rFonts w:ascii="Times" w:hAnsi="Times"/>
        </w:rPr>
        <w:t>nach Art</w:t>
      </w:r>
      <w:r>
        <w:rPr>
          <w:rFonts w:ascii="Times" w:hAnsi="Times"/>
        </w:rPr>
        <w:t>ikel</w:t>
      </w:r>
      <w:r w:rsidRPr="00166E22">
        <w:rPr>
          <w:rFonts w:ascii="Times" w:hAnsi="Times"/>
        </w:rPr>
        <w:t xml:space="preserve"> 21</w:t>
      </w:r>
      <w:r>
        <w:rPr>
          <w:rFonts w:ascii="Times" w:hAnsi="Times"/>
        </w:rPr>
        <w:t xml:space="preserve"> Absatz 2 des Grundgesetzes in Verbindung mit den Vorschriften </w:t>
      </w:r>
      <w:r w:rsidRPr="00166E22">
        <w:rPr>
          <w:rFonts w:ascii="Times" w:hAnsi="Times"/>
        </w:rPr>
        <w:t>des Bundesver</w:t>
      </w:r>
      <w:r>
        <w:rPr>
          <w:rFonts w:ascii="Times" w:hAnsi="Times"/>
        </w:rPr>
        <w:t>fas</w:t>
      </w:r>
      <w:r w:rsidRPr="00166E22">
        <w:rPr>
          <w:rFonts w:ascii="Times" w:hAnsi="Times"/>
        </w:rPr>
        <w:t xml:space="preserve">sungsgerichtsgesetzes vor dem Bundesverfassungsgericht zu beantragen. Sie </w:t>
      </w:r>
      <w:r>
        <w:rPr>
          <w:rFonts w:ascii="Times" w:hAnsi="Times"/>
        </w:rPr>
        <w:t>empfehlen</w:t>
      </w:r>
      <w:r w:rsidRPr="00166E22">
        <w:rPr>
          <w:rFonts w:ascii="Times" w:hAnsi="Times"/>
        </w:rPr>
        <w:t xml:space="preserve"> der MPK, den zuständigen Verfassungsorganen Bundestag, Bundesrat und Bundesregierung vorzuschlagen, eine entsprechende Antragstellung vorzubereiten.</w:t>
      </w:r>
    </w:p>
    <w:p w:rsidR="008A20AF" w:rsidRDefault="008A20AF">
      <w:pPr>
        <w:widowControl/>
        <w:tabs>
          <w:tab w:val="clear" w:pos="426"/>
          <w:tab w:val="clear" w:pos="851"/>
          <w:tab w:val="clear" w:pos="1276"/>
          <w:tab w:val="clear" w:pos="1701"/>
          <w:tab w:val="clear" w:pos="2127"/>
          <w:tab w:val="clear" w:pos="2552"/>
          <w:tab w:val="clear" w:pos="2977"/>
        </w:tabs>
        <w:spacing w:before="0" w:after="200" w:line="276" w:lineRule="auto"/>
        <w:jc w:val="left"/>
        <w:rPr>
          <w:rFonts w:ascii="Times" w:hAnsi="Times"/>
        </w:rPr>
      </w:pPr>
      <w:r>
        <w:rPr>
          <w:rFonts w:ascii="Times" w:hAnsi="Times"/>
        </w:rPr>
        <w:br w:type="page"/>
      </w:r>
    </w:p>
    <w:p w:rsidR="00720615" w:rsidRDefault="00720615" w:rsidP="00720615">
      <w:pPr>
        <w:tabs>
          <w:tab w:val="left" w:pos="0"/>
        </w:tabs>
        <w:spacing w:line="360" w:lineRule="atLeast"/>
        <w:ind w:left="851" w:hanging="851"/>
        <w:rPr>
          <w:rFonts w:ascii="Times" w:hAnsi="Times"/>
        </w:rPr>
      </w:pPr>
    </w:p>
    <w:p w:rsidR="00A86902" w:rsidRPr="00454806" w:rsidRDefault="00A86902" w:rsidP="00A86902">
      <w:pPr>
        <w:tabs>
          <w:tab w:val="left" w:pos="0"/>
        </w:tabs>
        <w:spacing w:line="360" w:lineRule="atLeast"/>
        <w:ind w:left="426" w:hanging="426"/>
        <w:jc w:val="right"/>
        <w:rPr>
          <w:rFonts w:ascii="Times" w:hAnsi="Times"/>
          <w:sz w:val="20"/>
          <w:u w:val="single"/>
        </w:rPr>
      </w:pPr>
      <w:r w:rsidRPr="000255CC">
        <w:rPr>
          <w:rFonts w:ascii="Times" w:hAnsi="Times"/>
          <w:sz w:val="20"/>
          <w:u w:val="single"/>
        </w:rPr>
        <w:t>n</w:t>
      </w:r>
      <w:r w:rsidRPr="00454806">
        <w:rPr>
          <w:rFonts w:ascii="Times" w:hAnsi="Times"/>
          <w:sz w:val="20"/>
          <w:u w:val="single"/>
        </w:rPr>
        <w:t>och TOP 1</w:t>
      </w:r>
    </w:p>
    <w:p w:rsidR="00720615" w:rsidRDefault="00720615" w:rsidP="00720615">
      <w:pPr>
        <w:tabs>
          <w:tab w:val="left" w:pos="0"/>
        </w:tabs>
        <w:spacing w:line="360" w:lineRule="atLeast"/>
        <w:ind w:left="426" w:hanging="426"/>
        <w:rPr>
          <w:rFonts w:ascii="Times" w:hAnsi="Times"/>
        </w:rPr>
      </w:pPr>
      <w:r w:rsidRPr="009F1B41">
        <w:rPr>
          <w:rFonts w:ascii="Times" w:hAnsi="Times"/>
        </w:rPr>
        <w:t>2.</w:t>
      </w:r>
      <w:r w:rsidRPr="009F1B41">
        <w:rPr>
          <w:rFonts w:ascii="Times" w:hAnsi="Times"/>
        </w:rPr>
        <w:tab/>
        <w:t xml:space="preserve">Die </w:t>
      </w:r>
      <w:r>
        <w:rPr>
          <w:rFonts w:ascii="Times" w:hAnsi="Times"/>
        </w:rPr>
        <w:t xml:space="preserve">Innenminister und -senatoren der Länder </w:t>
      </w:r>
      <w:r w:rsidRPr="00B94AF2">
        <w:rPr>
          <w:rFonts w:ascii="Times" w:hAnsi="Times"/>
        </w:rPr>
        <w:t>sowie der Bundesminister des Innern</w:t>
      </w:r>
      <w:r>
        <w:rPr>
          <w:rFonts w:ascii="Times" w:hAnsi="Times"/>
        </w:rPr>
        <w:t xml:space="preserve"> nehmen </w:t>
      </w:r>
      <w:r w:rsidRPr="00166E22">
        <w:rPr>
          <w:rFonts w:ascii="Times" w:hAnsi="Times"/>
        </w:rPr>
        <w:t xml:space="preserve">den auf der "Materialsammlung für ein mögliches Verbotsverfahren </w:t>
      </w:r>
      <w:r w:rsidRPr="00AD6014">
        <w:rPr>
          <w:rFonts w:ascii="Times" w:hAnsi="Times"/>
        </w:rPr>
        <w:t>-VS-</w:t>
      </w:r>
      <w:proofErr w:type="spellStart"/>
      <w:r w:rsidRPr="00AD6014">
        <w:rPr>
          <w:rFonts w:ascii="Times" w:hAnsi="Times"/>
        </w:rPr>
        <w:t>NfD</w:t>
      </w:r>
      <w:proofErr w:type="spellEnd"/>
      <w:r w:rsidRPr="00AD6014">
        <w:rPr>
          <w:rFonts w:ascii="Times" w:hAnsi="Times"/>
        </w:rPr>
        <w:t>-</w:t>
      </w:r>
      <w:r>
        <w:rPr>
          <w:rFonts w:ascii="Times" w:hAnsi="Times"/>
        </w:rPr>
        <w:t>"</w:t>
      </w:r>
      <w:r>
        <w:rPr>
          <w:rFonts w:ascii="Times" w:hAnsi="Times"/>
        </w:rPr>
        <w:br/>
      </w:r>
      <w:r w:rsidRPr="00166E22">
        <w:rPr>
          <w:rFonts w:ascii="Times" w:hAnsi="Times"/>
        </w:rPr>
        <w:t>(Stand: 25.10.</w:t>
      </w:r>
      <w:r>
        <w:rPr>
          <w:rFonts w:ascii="Times" w:hAnsi="Times"/>
        </w:rPr>
        <w:t>1</w:t>
      </w:r>
      <w:r w:rsidRPr="00166E22">
        <w:rPr>
          <w:rFonts w:ascii="Times" w:hAnsi="Times"/>
        </w:rPr>
        <w:t xml:space="preserve">2) basierenden </w:t>
      </w:r>
      <w:r>
        <w:rPr>
          <w:rFonts w:ascii="Times" w:hAnsi="Times"/>
        </w:rPr>
        <w:t>"</w:t>
      </w:r>
      <w:r w:rsidRPr="00166E22">
        <w:rPr>
          <w:rFonts w:ascii="Times" w:hAnsi="Times"/>
        </w:rPr>
        <w:t>Bericht zur Prüfung der Erfolgsaussichten eines neuen NPD-Verbotsverfahrens</w:t>
      </w:r>
      <w:r w:rsidRPr="00AD6014">
        <w:rPr>
          <w:rFonts w:ascii="Times" w:hAnsi="Times"/>
        </w:rPr>
        <w:t xml:space="preserve"> </w:t>
      </w:r>
      <w:r>
        <w:rPr>
          <w:rFonts w:ascii="Times" w:hAnsi="Times"/>
        </w:rPr>
        <w:t>-</w:t>
      </w:r>
      <w:r w:rsidRPr="00AD6014">
        <w:rPr>
          <w:rFonts w:ascii="Times" w:hAnsi="Times"/>
        </w:rPr>
        <w:t>VS-</w:t>
      </w:r>
      <w:proofErr w:type="spellStart"/>
      <w:r w:rsidRPr="00AD6014">
        <w:rPr>
          <w:rFonts w:ascii="Times" w:hAnsi="Times"/>
        </w:rPr>
        <w:t>NfD</w:t>
      </w:r>
      <w:proofErr w:type="spellEnd"/>
      <w:r w:rsidRPr="00AD6014">
        <w:rPr>
          <w:rFonts w:ascii="Times" w:hAnsi="Times"/>
        </w:rPr>
        <w:t>-</w:t>
      </w:r>
      <w:r>
        <w:rPr>
          <w:rFonts w:ascii="Times" w:hAnsi="Times"/>
        </w:rPr>
        <w:t>"</w:t>
      </w:r>
      <w:r w:rsidRPr="00166E22">
        <w:rPr>
          <w:rFonts w:ascii="Times" w:hAnsi="Times"/>
        </w:rPr>
        <w:t xml:space="preserve"> (Stand:</w:t>
      </w:r>
      <w:r>
        <w:rPr>
          <w:rFonts w:ascii="Times" w:hAnsi="Times"/>
        </w:rPr>
        <w:t xml:space="preserve"> 09.11.12</w:t>
      </w:r>
      <w:r w:rsidRPr="00166E22">
        <w:rPr>
          <w:rFonts w:ascii="Times" w:hAnsi="Times"/>
        </w:rPr>
        <w:t>) der Bund-Länder-Arbeitsgruppe unter gemeinsamem Vorsitz Sachsen-Anhalts und des Bundesministers des Innern zur Kenntnis</w:t>
      </w:r>
      <w:r>
        <w:rPr>
          <w:rFonts w:ascii="Times" w:hAnsi="Times"/>
        </w:rPr>
        <w:t xml:space="preserve">. </w:t>
      </w:r>
      <w:r w:rsidRPr="008C1B33">
        <w:rPr>
          <w:rFonts w:ascii="Times" w:hAnsi="Times"/>
        </w:rPr>
        <w:t xml:space="preserve">Die IMK bittet ihren Vorsitzenden, diesen Beschluss sowie den </w:t>
      </w:r>
      <w:r>
        <w:rPr>
          <w:rFonts w:ascii="Times" w:hAnsi="Times"/>
        </w:rPr>
        <w:t>"</w:t>
      </w:r>
      <w:r w:rsidRPr="008C1B33">
        <w:rPr>
          <w:rFonts w:ascii="Times" w:hAnsi="Times"/>
        </w:rPr>
        <w:t>Bericht zur Prüfung der Erfolgsaussichten eines neuen NPD-Verbotsverfahrens</w:t>
      </w:r>
      <w:r>
        <w:rPr>
          <w:rFonts w:ascii="Times" w:hAnsi="Times"/>
        </w:rPr>
        <w:t>"</w:t>
      </w:r>
      <w:r w:rsidRPr="008C1B33">
        <w:rPr>
          <w:rFonts w:ascii="Times" w:hAnsi="Times"/>
        </w:rPr>
        <w:t xml:space="preserve"> der Vorsitzenden der MPK zur Sitzung der Regierungschefinnen und Regierungschefs am </w:t>
      </w:r>
      <w:r>
        <w:rPr>
          <w:rFonts w:ascii="Times" w:hAnsi="Times"/>
        </w:rPr>
        <w:t>0</w:t>
      </w:r>
      <w:r w:rsidRPr="008C1B33">
        <w:rPr>
          <w:rFonts w:ascii="Times" w:hAnsi="Times"/>
        </w:rPr>
        <w:t>6.</w:t>
      </w:r>
      <w:r>
        <w:rPr>
          <w:rFonts w:ascii="Times" w:hAnsi="Times"/>
        </w:rPr>
        <w:t>12.</w:t>
      </w:r>
      <w:r w:rsidRPr="008C1B33">
        <w:rPr>
          <w:rFonts w:ascii="Times" w:hAnsi="Times"/>
        </w:rPr>
        <w:t>12 zuzuleiten.</w:t>
      </w:r>
    </w:p>
    <w:p w:rsidR="00720615" w:rsidRDefault="00720615" w:rsidP="00720615">
      <w:pPr>
        <w:tabs>
          <w:tab w:val="left" w:pos="0"/>
        </w:tabs>
        <w:spacing w:line="360" w:lineRule="atLeast"/>
        <w:ind w:left="426" w:hanging="426"/>
        <w:rPr>
          <w:rFonts w:ascii="Times" w:hAnsi="Times"/>
        </w:rPr>
      </w:pPr>
      <w:r>
        <w:rPr>
          <w:rFonts w:ascii="Times" w:hAnsi="Times"/>
        </w:rPr>
        <w:tab/>
        <w:t xml:space="preserve">Sie sehen in dem vorgelegten quellenfreien Material eine geeignete Grundlage, das NPD-Verbotsverfahren mit hinreichender Wahrscheinlichkeit erfolgreich abschließen zu können. </w:t>
      </w:r>
      <w:r w:rsidRPr="00562D8A">
        <w:rPr>
          <w:rFonts w:ascii="Times" w:hAnsi="Times"/>
        </w:rPr>
        <w:t xml:space="preserve">Die Ziele der NPD sind mit der freiheitlich demokratischen Grundordnung des Grundgesetzes unvereinbar. Die NPD </w:t>
      </w:r>
      <w:r>
        <w:rPr>
          <w:rFonts w:ascii="Times" w:hAnsi="Times"/>
        </w:rPr>
        <w:t>zielt</w:t>
      </w:r>
      <w:r w:rsidRPr="00562D8A">
        <w:rPr>
          <w:rFonts w:ascii="Times" w:hAnsi="Times"/>
        </w:rPr>
        <w:t xml:space="preserve"> darauf </w:t>
      </w:r>
      <w:r>
        <w:rPr>
          <w:rFonts w:ascii="Times" w:hAnsi="Times"/>
        </w:rPr>
        <w:t>ab</w:t>
      </w:r>
      <w:r w:rsidRPr="00562D8A">
        <w:rPr>
          <w:rFonts w:ascii="Times" w:hAnsi="Times"/>
        </w:rPr>
        <w:t xml:space="preserve">, die freiheitlich demokratische Grundordnung in aggressiv-kämpferischer Weise zu beeinträchtigen. </w:t>
      </w:r>
      <w:r>
        <w:rPr>
          <w:rFonts w:ascii="Times" w:hAnsi="Times"/>
        </w:rPr>
        <w:t>Die Innenminister und -senatoren der Länder bitten das Bundesministerium des Innern, bis zu einer Entscheidung des Bundesverfassungsgerichts gemeinsam mit den Ländern die Fortsetzung der systematischen Materialsammlung im Hinblick auf aktuelle Erkenntnisse zu veranlassen.</w:t>
      </w:r>
    </w:p>
    <w:p w:rsidR="00720615" w:rsidRDefault="00720615" w:rsidP="00720615">
      <w:pPr>
        <w:tabs>
          <w:tab w:val="left" w:pos="0"/>
        </w:tabs>
        <w:spacing w:before="0" w:line="360" w:lineRule="atLeast"/>
        <w:ind w:left="425" w:hanging="425"/>
        <w:rPr>
          <w:rFonts w:ascii="Times" w:hAnsi="Times"/>
        </w:rPr>
      </w:pPr>
    </w:p>
    <w:p w:rsidR="00720615" w:rsidRDefault="00720615" w:rsidP="00720615">
      <w:pPr>
        <w:tabs>
          <w:tab w:val="left" w:pos="0"/>
        </w:tabs>
        <w:spacing w:line="360" w:lineRule="atLeast"/>
        <w:ind w:left="426" w:hanging="426"/>
        <w:rPr>
          <w:rFonts w:ascii="Times" w:hAnsi="Times"/>
        </w:rPr>
      </w:pPr>
      <w:r>
        <w:rPr>
          <w:rFonts w:ascii="Times" w:hAnsi="Times"/>
        </w:rPr>
        <w:t>3.</w:t>
      </w:r>
      <w:r>
        <w:rPr>
          <w:rFonts w:ascii="Times" w:hAnsi="Times"/>
        </w:rPr>
        <w:tab/>
        <w:t>Die Innenminister und -senatoren der Länder sowie der Bundesminister des Innern stellen fest, dass mit dem Verbot der NPD der Verlust des Parteienprivilegs einher geht und somit die NPD auch von der staatlichen Parteienfinanzierung ausgeschlossen ist.</w:t>
      </w:r>
    </w:p>
    <w:p w:rsidR="00720615" w:rsidRDefault="00720615" w:rsidP="00720615">
      <w:pPr>
        <w:tabs>
          <w:tab w:val="left" w:pos="0"/>
        </w:tabs>
        <w:spacing w:before="0" w:line="360" w:lineRule="atLeast"/>
        <w:ind w:left="425" w:hanging="425"/>
        <w:rPr>
          <w:rFonts w:ascii="Times" w:hAnsi="Times"/>
        </w:rPr>
      </w:pPr>
    </w:p>
    <w:p w:rsidR="00720615" w:rsidRDefault="00720615" w:rsidP="00720615">
      <w:pPr>
        <w:tabs>
          <w:tab w:val="left" w:pos="0"/>
        </w:tabs>
        <w:spacing w:line="360" w:lineRule="atLeast"/>
        <w:ind w:left="426" w:hanging="426"/>
        <w:rPr>
          <w:rFonts w:ascii="Times" w:hAnsi="Times"/>
        </w:rPr>
      </w:pPr>
      <w:r>
        <w:rPr>
          <w:rFonts w:ascii="Times" w:hAnsi="Times"/>
        </w:rPr>
        <w:t>4.</w:t>
      </w:r>
      <w:r>
        <w:rPr>
          <w:rFonts w:ascii="Times" w:hAnsi="Times"/>
        </w:rPr>
        <w:tab/>
        <w:t xml:space="preserve">Die Innenminister und -senatoren der Länder sowie der Bundesminister des Innern sind sich darin einig, dass ein Verbot der NPD, das auch ein Verbot von Nachfolgeorganisationen beinhaltet, ein </w:t>
      </w:r>
      <w:r w:rsidRPr="00B94AF2">
        <w:rPr>
          <w:rFonts w:ascii="Times" w:hAnsi="Times"/>
        </w:rPr>
        <w:t xml:space="preserve">wichtiger </w:t>
      </w:r>
      <w:r>
        <w:rPr>
          <w:rFonts w:ascii="Times" w:hAnsi="Times"/>
        </w:rPr>
        <w:t>Beitrag gegen den parteigebundenen Rechtsextremismus ist</w:t>
      </w:r>
      <w:r w:rsidRPr="008149B8">
        <w:rPr>
          <w:rFonts w:ascii="Times" w:hAnsi="Times"/>
          <w:b/>
        </w:rPr>
        <w:t xml:space="preserve">. </w:t>
      </w:r>
      <w:r w:rsidRPr="00B94AF2">
        <w:rPr>
          <w:rFonts w:ascii="Times" w:hAnsi="Times"/>
        </w:rPr>
        <w:t>In Ergänzung</w:t>
      </w:r>
      <w:r>
        <w:rPr>
          <w:rFonts w:ascii="Times" w:hAnsi="Times"/>
        </w:rPr>
        <w:t xml:space="preserve"> müssen frühzeitig Strategien entwickelt werden, um Verlagerungstendenzen in andere rechtsextremistische Parteien und Gruppierungen zu verhindern. </w:t>
      </w:r>
      <w:r w:rsidRPr="00A82B03">
        <w:rPr>
          <w:rFonts w:ascii="Times" w:hAnsi="Times"/>
        </w:rPr>
        <w:t>Partei</w:t>
      </w:r>
      <w:r>
        <w:rPr>
          <w:rFonts w:ascii="Times" w:hAnsi="Times"/>
        </w:rPr>
        <w:t>en</w:t>
      </w:r>
      <w:r w:rsidRPr="00A82B03">
        <w:rPr>
          <w:rFonts w:ascii="Times" w:hAnsi="Times"/>
        </w:rPr>
        <w:t xml:space="preserve">verbote können </w:t>
      </w:r>
      <w:r>
        <w:rPr>
          <w:rFonts w:ascii="Times" w:hAnsi="Times"/>
        </w:rPr>
        <w:t xml:space="preserve">die übrigen Bekämpfungsmaßnahmen gegen Rechtsextremismus </w:t>
      </w:r>
      <w:r w:rsidRPr="00A82B03">
        <w:rPr>
          <w:rFonts w:ascii="Times" w:hAnsi="Times"/>
        </w:rPr>
        <w:t xml:space="preserve">nicht ersetzen. </w:t>
      </w:r>
    </w:p>
    <w:p w:rsidR="008A20AF" w:rsidRDefault="008A20AF">
      <w:pPr>
        <w:widowControl/>
        <w:tabs>
          <w:tab w:val="clear" w:pos="426"/>
          <w:tab w:val="clear" w:pos="851"/>
          <w:tab w:val="clear" w:pos="1276"/>
          <w:tab w:val="clear" w:pos="1701"/>
          <w:tab w:val="clear" w:pos="2127"/>
          <w:tab w:val="clear" w:pos="2552"/>
          <w:tab w:val="clear" w:pos="2977"/>
        </w:tabs>
        <w:spacing w:before="0" w:after="200" w:line="276" w:lineRule="auto"/>
        <w:jc w:val="left"/>
        <w:rPr>
          <w:rFonts w:ascii="Times" w:hAnsi="Times"/>
          <w:sz w:val="20"/>
          <w:u w:val="single"/>
        </w:rPr>
      </w:pPr>
      <w:r>
        <w:rPr>
          <w:rFonts w:ascii="Times" w:hAnsi="Times"/>
          <w:sz w:val="20"/>
          <w:u w:val="single"/>
        </w:rPr>
        <w:br w:type="page"/>
      </w:r>
    </w:p>
    <w:p w:rsidR="00A86902" w:rsidRDefault="00A86902" w:rsidP="00A86902">
      <w:pPr>
        <w:tabs>
          <w:tab w:val="left" w:pos="0"/>
        </w:tabs>
        <w:spacing w:line="360" w:lineRule="atLeast"/>
        <w:ind w:left="426" w:hanging="426"/>
        <w:jc w:val="right"/>
        <w:rPr>
          <w:rFonts w:ascii="Times" w:hAnsi="Times"/>
          <w:sz w:val="20"/>
          <w:u w:val="single"/>
        </w:rPr>
      </w:pPr>
      <w:r w:rsidRPr="000255CC">
        <w:rPr>
          <w:rFonts w:ascii="Times" w:hAnsi="Times"/>
          <w:sz w:val="20"/>
          <w:u w:val="single"/>
        </w:rPr>
        <w:t>n</w:t>
      </w:r>
      <w:r w:rsidRPr="00454806">
        <w:rPr>
          <w:rFonts w:ascii="Times" w:hAnsi="Times"/>
          <w:sz w:val="20"/>
          <w:u w:val="single"/>
        </w:rPr>
        <w:t>och TOP 1</w:t>
      </w:r>
    </w:p>
    <w:p w:rsidR="008A20AF" w:rsidRPr="00454806" w:rsidRDefault="008A20AF" w:rsidP="00A86902">
      <w:pPr>
        <w:tabs>
          <w:tab w:val="left" w:pos="0"/>
        </w:tabs>
        <w:spacing w:line="360" w:lineRule="atLeast"/>
        <w:ind w:left="426" w:hanging="426"/>
        <w:jc w:val="right"/>
        <w:rPr>
          <w:rFonts w:ascii="Times" w:hAnsi="Times"/>
          <w:sz w:val="20"/>
          <w:u w:val="single"/>
        </w:rPr>
      </w:pPr>
    </w:p>
    <w:p w:rsidR="00720615" w:rsidRDefault="00720615" w:rsidP="00720615">
      <w:pPr>
        <w:tabs>
          <w:tab w:val="left" w:pos="0"/>
        </w:tabs>
        <w:spacing w:line="360" w:lineRule="atLeast"/>
        <w:ind w:left="426" w:hanging="426"/>
        <w:rPr>
          <w:rFonts w:ascii="Times" w:hAnsi="Times"/>
        </w:rPr>
      </w:pPr>
      <w:r>
        <w:rPr>
          <w:rFonts w:ascii="Times" w:hAnsi="Times"/>
        </w:rPr>
        <w:tab/>
        <w:t xml:space="preserve">Die Innenminister und -senatoren der Länder </w:t>
      </w:r>
      <w:r w:rsidRPr="002B247F">
        <w:rPr>
          <w:rFonts w:ascii="Times" w:hAnsi="Times"/>
        </w:rPr>
        <w:t xml:space="preserve">sowie der Bundesminister des Innern </w:t>
      </w:r>
      <w:r>
        <w:rPr>
          <w:rFonts w:ascii="Times" w:hAnsi="Times"/>
        </w:rPr>
        <w:t>sehen</w:t>
      </w:r>
      <w:r w:rsidRPr="00AC30AE">
        <w:rPr>
          <w:rFonts w:ascii="Times" w:hAnsi="Times"/>
        </w:rPr>
        <w:t xml:space="preserve"> in der Bekämpfung und Ächtung des Rechtsextremismus für die Sicherheitsbehörden in Bund und Ländern eine Daueraufgabe von hoher Priorität, die eine besondere sicherheitspolitische Herausforderung darstellt. </w:t>
      </w:r>
      <w:r>
        <w:rPr>
          <w:rFonts w:ascii="Times" w:hAnsi="Times"/>
        </w:rPr>
        <w:t>Darüber hinaus</w:t>
      </w:r>
      <w:r w:rsidRPr="00AC30AE">
        <w:rPr>
          <w:rFonts w:ascii="Times" w:hAnsi="Times"/>
        </w:rPr>
        <w:t xml:space="preserve"> ist ein ebenso </w:t>
      </w:r>
      <w:r>
        <w:rPr>
          <w:rFonts w:ascii="Times" w:hAnsi="Times"/>
        </w:rPr>
        <w:t>konsequent</w:t>
      </w:r>
      <w:r w:rsidRPr="00AC30AE">
        <w:rPr>
          <w:rFonts w:ascii="Times" w:hAnsi="Times"/>
        </w:rPr>
        <w:t xml:space="preserve">es und nachhaltiges wie koordiniertes Vorgehen der Sicherheitsbehörden in Bund und Ländern gegen </w:t>
      </w:r>
      <w:r>
        <w:rPr>
          <w:rFonts w:ascii="Times" w:hAnsi="Times"/>
        </w:rPr>
        <w:t>rechtsextremistische Bestrebungen</w:t>
      </w:r>
      <w:r w:rsidRPr="00AC30AE">
        <w:rPr>
          <w:rFonts w:ascii="Times" w:hAnsi="Times"/>
        </w:rPr>
        <w:t xml:space="preserve"> notwendig. </w:t>
      </w:r>
    </w:p>
    <w:p w:rsidR="00720615" w:rsidRDefault="00720615" w:rsidP="00720615">
      <w:pPr>
        <w:tabs>
          <w:tab w:val="left" w:pos="0"/>
        </w:tabs>
        <w:spacing w:line="360" w:lineRule="atLeast"/>
        <w:ind w:left="426" w:hanging="426"/>
        <w:rPr>
          <w:rFonts w:ascii="Times" w:hAnsi="Times"/>
        </w:rPr>
      </w:pPr>
      <w:r>
        <w:rPr>
          <w:rFonts w:ascii="Times" w:hAnsi="Times"/>
        </w:rPr>
        <w:tab/>
        <w:t>Die Innenminister und -senatoren der Länder sowie der Bundesminister des Innern bekräftigen daher, dass die Arbeit im präventiven Bereich zu intensivieren ist. Es ist sicherzustellen, dass diese Maßnahmen zielgerichtet, nachhaltig und von hoher Qualität sind. In diesem Zusammenhang begrüßt d</w:t>
      </w:r>
      <w:r w:rsidRPr="00AC30AE">
        <w:rPr>
          <w:rFonts w:ascii="Times" w:hAnsi="Times"/>
        </w:rPr>
        <w:t xml:space="preserve">ie IMK </w:t>
      </w:r>
      <w:r>
        <w:rPr>
          <w:rFonts w:ascii="Times" w:hAnsi="Times"/>
        </w:rPr>
        <w:t xml:space="preserve">die bestehenden </w:t>
      </w:r>
      <w:proofErr w:type="spellStart"/>
      <w:r w:rsidRPr="00AC30AE">
        <w:rPr>
          <w:rFonts w:ascii="Times" w:hAnsi="Times"/>
        </w:rPr>
        <w:t>Aussteigerprogramme</w:t>
      </w:r>
      <w:proofErr w:type="spellEnd"/>
      <w:r w:rsidRPr="00AC30AE">
        <w:rPr>
          <w:rFonts w:ascii="Times" w:hAnsi="Times"/>
        </w:rPr>
        <w:t xml:space="preserve"> der Sicherheitsbehörden im rechtsextremistischen Bereich</w:t>
      </w:r>
      <w:r>
        <w:rPr>
          <w:rFonts w:ascii="Times" w:hAnsi="Times"/>
        </w:rPr>
        <w:t>. Gleichzeitig sind die im rechtsstaatlichen Rahmen möglichen repressiven Instrumente</w:t>
      </w:r>
      <w:r w:rsidRPr="008C1D16">
        <w:rPr>
          <w:rFonts w:ascii="Times" w:hAnsi="Times"/>
        </w:rPr>
        <w:t xml:space="preserve"> zur Bekämpfung</w:t>
      </w:r>
      <w:r>
        <w:rPr>
          <w:rFonts w:ascii="Times" w:hAnsi="Times"/>
        </w:rPr>
        <w:t xml:space="preserve"> rechts</w:t>
      </w:r>
      <w:r w:rsidRPr="008C1D16">
        <w:rPr>
          <w:rFonts w:ascii="Times" w:hAnsi="Times"/>
        </w:rPr>
        <w:t xml:space="preserve">extremistischer Bestrebungen auszuschöpfen. </w:t>
      </w:r>
      <w:r w:rsidRPr="00AC30AE">
        <w:rPr>
          <w:rFonts w:ascii="Times" w:hAnsi="Times"/>
        </w:rPr>
        <w:t>Weiter hält es die IMK für erforderlich, rechts</w:t>
      </w:r>
      <w:r>
        <w:rPr>
          <w:rFonts w:ascii="Times" w:hAnsi="Times"/>
        </w:rPr>
        <w:softHyphen/>
      </w:r>
      <w:r w:rsidRPr="00AC30AE">
        <w:rPr>
          <w:rFonts w:ascii="Times" w:hAnsi="Times"/>
        </w:rPr>
        <w:t xml:space="preserve">extremistische </w:t>
      </w:r>
      <w:r>
        <w:rPr>
          <w:rFonts w:ascii="Times" w:hAnsi="Times"/>
        </w:rPr>
        <w:t>Gruppierungen</w:t>
      </w:r>
      <w:r w:rsidRPr="00AC30AE">
        <w:rPr>
          <w:rFonts w:ascii="Times" w:hAnsi="Times"/>
        </w:rPr>
        <w:t xml:space="preserve"> im Hinblick auf Gewaltbereitschaft </w:t>
      </w:r>
      <w:r>
        <w:rPr>
          <w:rFonts w:ascii="Times" w:hAnsi="Times"/>
        </w:rPr>
        <w:t>ständig</w:t>
      </w:r>
      <w:r w:rsidRPr="00AC30AE">
        <w:rPr>
          <w:rFonts w:ascii="Times" w:hAnsi="Times"/>
        </w:rPr>
        <w:t xml:space="preserve"> zu überprüfen.</w:t>
      </w:r>
    </w:p>
    <w:p w:rsidR="00720615" w:rsidRDefault="00720615" w:rsidP="00720615">
      <w:pPr>
        <w:tabs>
          <w:tab w:val="left" w:pos="0"/>
        </w:tabs>
        <w:spacing w:line="360" w:lineRule="atLeast"/>
        <w:ind w:left="426" w:hanging="426"/>
        <w:rPr>
          <w:rFonts w:ascii="Times" w:hAnsi="Times"/>
          <w:u w:val="single"/>
        </w:rPr>
      </w:pPr>
    </w:p>
    <w:p w:rsidR="00720615" w:rsidRDefault="00720615" w:rsidP="00720615">
      <w:pPr>
        <w:tabs>
          <w:tab w:val="left" w:pos="0"/>
        </w:tabs>
        <w:spacing w:line="360" w:lineRule="atLeast"/>
        <w:ind w:left="426" w:hanging="426"/>
        <w:rPr>
          <w:rFonts w:ascii="Times" w:hAnsi="Times"/>
          <w:u w:val="single"/>
        </w:rPr>
      </w:pPr>
    </w:p>
    <w:p w:rsidR="00720615" w:rsidRDefault="00720615" w:rsidP="00720615">
      <w:pPr>
        <w:tabs>
          <w:tab w:val="left" w:pos="0"/>
        </w:tabs>
        <w:spacing w:line="360" w:lineRule="atLeast"/>
        <w:ind w:left="426" w:hanging="426"/>
        <w:rPr>
          <w:rFonts w:ascii="Times" w:hAnsi="Times"/>
          <w:u w:val="single"/>
        </w:rPr>
      </w:pPr>
      <w:r>
        <w:rPr>
          <w:rFonts w:ascii="Times" w:hAnsi="Times"/>
          <w:u w:val="single"/>
        </w:rPr>
        <w:t>Protokollnotiz BMI, HE und SL:</w:t>
      </w:r>
    </w:p>
    <w:p w:rsidR="00720615" w:rsidRPr="00BC23EA" w:rsidRDefault="00720615" w:rsidP="00720615">
      <w:pPr>
        <w:tabs>
          <w:tab w:val="clear" w:pos="426"/>
          <w:tab w:val="left" w:pos="0"/>
        </w:tabs>
        <w:rPr>
          <w:rFonts w:ascii="Times" w:hAnsi="Times"/>
          <w:sz w:val="20"/>
        </w:rPr>
      </w:pPr>
      <w:r w:rsidRPr="00BC23EA">
        <w:rPr>
          <w:rFonts w:ascii="Times" w:hAnsi="Times"/>
          <w:sz w:val="20"/>
        </w:rPr>
        <w:t xml:space="preserve">Die NPD ist eine rassistische und antisemitische Partei, die das Ziel verfolgt, die freiheitlich demokratische Grundordnung zu beseitigen. Daher ist es grundsätzlich richtig, dass die Länder gemeinsam diese freiheitlich demokratische Grundordnung schützen wollen und alle Möglichkeiten ausgeschöpft werden, damit die NPD ihr Ziel nicht erreichen kann. Die NPD ist auf allen Ebenen gesellschaftlich und politisch zu bekämpfen. </w:t>
      </w:r>
    </w:p>
    <w:p w:rsidR="00720615" w:rsidRPr="00BC23EA" w:rsidRDefault="00720615" w:rsidP="00720615">
      <w:pPr>
        <w:tabs>
          <w:tab w:val="clear" w:pos="426"/>
          <w:tab w:val="left" w:pos="0"/>
        </w:tabs>
        <w:rPr>
          <w:rFonts w:ascii="Times" w:hAnsi="Times"/>
          <w:sz w:val="20"/>
        </w:rPr>
      </w:pPr>
      <w:r w:rsidRPr="00BC23EA">
        <w:rPr>
          <w:rFonts w:ascii="Times" w:hAnsi="Times"/>
          <w:sz w:val="20"/>
        </w:rPr>
        <w:t xml:space="preserve">Über die Erfolgsaussichten eines Parteiverbotsverfahrens gibt es im Hinblick auf die Rechtsprechung des Bundesverfassungsgerichts und des Europäischen Gerichtshof für Menschenrechte nach wie vor erhebliche Risiken. Dabei ist zu bedenken, dass bei einem Scheitern </w:t>
      </w:r>
      <w:r>
        <w:rPr>
          <w:rFonts w:ascii="Times" w:hAnsi="Times"/>
          <w:sz w:val="20"/>
        </w:rPr>
        <w:t>-</w:t>
      </w:r>
      <w:r w:rsidRPr="00BC23EA">
        <w:rPr>
          <w:rFonts w:ascii="Times" w:hAnsi="Times"/>
          <w:sz w:val="20"/>
        </w:rPr>
        <w:t xml:space="preserve"> wie schon das erste Verbotsverfahren im Jahr 2003 gezeigt hat </w:t>
      </w:r>
      <w:r>
        <w:rPr>
          <w:rFonts w:ascii="Times" w:hAnsi="Times"/>
          <w:sz w:val="20"/>
        </w:rPr>
        <w:t>-</w:t>
      </w:r>
      <w:r w:rsidRPr="00BC23EA">
        <w:rPr>
          <w:rFonts w:ascii="Times" w:hAnsi="Times"/>
          <w:sz w:val="20"/>
        </w:rPr>
        <w:t xml:space="preserve"> die Gefahr besteht, dass die NPD letztlich gestärkt aus einem solchen Verfahren hervorgeht. </w:t>
      </w:r>
    </w:p>
    <w:p w:rsidR="00720615" w:rsidRPr="00BC23EA" w:rsidRDefault="00720615" w:rsidP="00720615">
      <w:pPr>
        <w:tabs>
          <w:tab w:val="clear" w:pos="426"/>
          <w:tab w:val="left" w:pos="0"/>
        </w:tabs>
        <w:rPr>
          <w:rFonts w:ascii="Times" w:hAnsi="Times"/>
          <w:sz w:val="20"/>
        </w:rPr>
      </w:pPr>
    </w:p>
    <w:p w:rsidR="00720615" w:rsidRPr="00BC23EA" w:rsidRDefault="00720615" w:rsidP="00720615">
      <w:pPr>
        <w:tabs>
          <w:tab w:val="clear" w:pos="426"/>
          <w:tab w:val="left" w:pos="0"/>
        </w:tabs>
        <w:rPr>
          <w:rFonts w:ascii="Times" w:hAnsi="Times"/>
          <w:sz w:val="20"/>
        </w:rPr>
      </w:pPr>
      <w:r w:rsidRPr="00BC23EA">
        <w:rPr>
          <w:rFonts w:ascii="Times" w:hAnsi="Times"/>
          <w:sz w:val="20"/>
        </w:rPr>
        <w:t>Zusatz Hessen:</w:t>
      </w:r>
    </w:p>
    <w:p w:rsidR="00720615" w:rsidRPr="00BC23EA" w:rsidRDefault="00720615" w:rsidP="00720615">
      <w:pPr>
        <w:tabs>
          <w:tab w:val="clear" w:pos="426"/>
          <w:tab w:val="left" w:pos="0"/>
        </w:tabs>
        <w:rPr>
          <w:rFonts w:ascii="Times" w:hAnsi="Times"/>
          <w:sz w:val="20"/>
        </w:rPr>
      </w:pPr>
      <w:r w:rsidRPr="00BC23EA">
        <w:rPr>
          <w:rFonts w:ascii="Times" w:hAnsi="Times"/>
          <w:sz w:val="20"/>
        </w:rPr>
        <w:t>Im Interesse der Einigkeit und der Geschlossenheit aller Demokraten wird sich das Land Hessen bei allen Bedenken und bestehenden Risiken dem Beschluss der IMK, der MPK vorzuschlagen, eine entsprechende Antragstellung für ein NPD-Verbotsverfahren vorzubereiten, nicht entgegenstellen.</w:t>
      </w:r>
    </w:p>
    <w:p w:rsidR="00720615" w:rsidRPr="00BC23EA" w:rsidRDefault="00720615" w:rsidP="00720615">
      <w:pPr>
        <w:tabs>
          <w:tab w:val="clear" w:pos="426"/>
          <w:tab w:val="left" w:pos="0"/>
        </w:tabs>
        <w:rPr>
          <w:rFonts w:ascii="Times" w:hAnsi="Times"/>
          <w:sz w:val="20"/>
        </w:rPr>
      </w:pPr>
    </w:p>
    <w:p w:rsidR="00720615" w:rsidRPr="00BC23EA" w:rsidRDefault="00720615" w:rsidP="00720615">
      <w:pPr>
        <w:tabs>
          <w:tab w:val="clear" w:pos="426"/>
          <w:tab w:val="left" w:pos="0"/>
        </w:tabs>
        <w:rPr>
          <w:rFonts w:ascii="Times" w:hAnsi="Times"/>
          <w:sz w:val="20"/>
        </w:rPr>
      </w:pPr>
      <w:r w:rsidRPr="00BC23EA">
        <w:rPr>
          <w:rFonts w:ascii="Times" w:hAnsi="Times"/>
          <w:sz w:val="20"/>
        </w:rPr>
        <w:t>Zusatz Saarland:</w:t>
      </w:r>
    </w:p>
    <w:p w:rsidR="00870583" w:rsidRDefault="00720615" w:rsidP="00A86902">
      <w:pPr>
        <w:tabs>
          <w:tab w:val="clear" w:pos="426"/>
          <w:tab w:val="left" w:pos="0"/>
        </w:tabs>
      </w:pPr>
      <w:r w:rsidRPr="00BC23EA">
        <w:rPr>
          <w:rFonts w:ascii="Times" w:hAnsi="Times"/>
          <w:sz w:val="20"/>
        </w:rPr>
        <w:t xml:space="preserve">Anders als noch im Jahre 2003 ist mittlerweile ein rechtsextrem motivierter Terrorismus offenkundig geworden. Dies macht die Geschlossenheit und Entschlossenheit aller demokratischen Kräfte in der Bundesrepublik Deutschland notwendig. In Kenntnis der rechtlichen Risiken stimmt das Saarland dem vorliegenden Antrag eines NPD-Verbotes zu, um ein deutliches Signal an alle verfassungsfeindlichen Kräfte zu senden. </w:t>
      </w:r>
    </w:p>
    <w:sectPr w:rsidR="00870583" w:rsidSect="00870583">
      <w:headerReference w:type="default" r:id="rId6"/>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833" w:rsidRDefault="00512833" w:rsidP="00720615">
      <w:pPr>
        <w:spacing w:before="0"/>
      </w:pPr>
      <w:r>
        <w:separator/>
      </w:r>
    </w:p>
  </w:endnote>
  <w:endnote w:type="continuationSeparator" w:id="0">
    <w:p w:rsidR="00512833" w:rsidRDefault="00512833" w:rsidP="00720615">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Times">
    <w:panose1 w:val="02020603060405020304"/>
    <w:charset w:val="00"/>
    <w:family w:val="roman"/>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833" w:rsidRDefault="00512833" w:rsidP="00720615">
      <w:pPr>
        <w:spacing w:before="0"/>
      </w:pPr>
      <w:r>
        <w:separator/>
      </w:r>
    </w:p>
  </w:footnote>
  <w:footnote w:type="continuationSeparator" w:id="0">
    <w:p w:rsidR="00512833" w:rsidRDefault="00512833" w:rsidP="00720615">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615" w:rsidRDefault="00720615">
    <w:pPr>
      <w:pStyle w:val="Kopfzeile"/>
    </w:pPr>
  </w:p>
  <w:tbl>
    <w:tblPr>
      <w:tblW w:w="0" w:type="auto"/>
      <w:tblLayout w:type="fixed"/>
      <w:tblCellMar>
        <w:left w:w="70" w:type="dxa"/>
        <w:right w:w="70" w:type="dxa"/>
      </w:tblCellMar>
      <w:tblLook w:val="0000"/>
    </w:tblPr>
    <w:tblGrid>
      <w:gridCol w:w="9211"/>
    </w:tblGrid>
    <w:tr w:rsidR="00720615" w:rsidTr="007646AE">
      <w:tc>
        <w:tcPr>
          <w:tcW w:w="9211" w:type="dxa"/>
        </w:tcPr>
        <w:p w:rsidR="00720615" w:rsidRPr="00EE478B" w:rsidRDefault="00720615" w:rsidP="00EF182B">
          <w:pPr>
            <w:widowControl/>
            <w:tabs>
              <w:tab w:val="clear" w:pos="426"/>
              <w:tab w:val="clear" w:pos="851"/>
              <w:tab w:val="clear" w:pos="1276"/>
              <w:tab w:val="clear" w:pos="1701"/>
              <w:tab w:val="clear" w:pos="2127"/>
              <w:tab w:val="clear" w:pos="2552"/>
              <w:tab w:val="clear" w:pos="2977"/>
              <w:tab w:val="left" w:pos="9071"/>
            </w:tabs>
            <w:jc w:val="center"/>
            <w:rPr>
              <w:rFonts w:ascii="Times" w:hAnsi="Times"/>
              <w:b/>
            </w:rPr>
          </w:pPr>
          <w:r>
            <w:rPr>
              <w:rFonts w:ascii="Times" w:hAnsi="Times"/>
              <w:b/>
            </w:rPr>
            <w:t>Beschluss</w:t>
          </w:r>
          <w:r w:rsidR="00EF182B">
            <w:rPr>
              <w:rFonts w:ascii="Times" w:hAnsi="Times"/>
              <w:b/>
            </w:rPr>
            <w:t>niederschrift</w:t>
          </w:r>
        </w:p>
      </w:tc>
    </w:tr>
    <w:tr w:rsidR="00720615" w:rsidTr="007646AE">
      <w:tc>
        <w:tcPr>
          <w:tcW w:w="9211" w:type="dxa"/>
        </w:tcPr>
        <w:p w:rsidR="00720615" w:rsidRDefault="00EF182B" w:rsidP="00EF182B">
          <w:pPr>
            <w:widowControl/>
            <w:tabs>
              <w:tab w:val="clear" w:pos="426"/>
              <w:tab w:val="clear" w:pos="851"/>
              <w:tab w:val="clear" w:pos="1276"/>
              <w:tab w:val="clear" w:pos="1701"/>
              <w:tab w:val="clear" w:pos="2127"/>
              <w:tab w:val="clear" w:pos="2552"/>
              <w:tab w:val="clear" w:pos="2977"/>
              <w:tab w:val="left" w:pos="9071"/>
            </w:tabs>
            <w:jc w:val="center"/>
            <w:rPr>
              <w:rFonts w:ascii="Times" w:hAnsi="Times"/>
            </w:rPr>
          </w:pPr>
          <w:r>
            <w:rPr>
              <w:rFonts w:ascii="Times" w:hAnsi="Times"/>
            </w:rPr>
            <w:t>der</w:t>
          </w:r>
          <w:r w:rsidR="00720615">
            <w:rPr>
              <w:rFonts w:ascii="Times" w:hAnsi="Times"/>
            </w:rPr>
            <w:t xml:space="preserve"> 196. Sitzung der Ständigen Konferenz der Innenminister und -senatoren der Länder</w:t>
          </w:r>
        </w:p>
      </w:tc>
    </w:tr>
    <w:tr w:rsidR="00720615" w:rsidTr="007646AE">
      <w:tc>
        <w:tcPr>
          <w:tcW w:w="9211" w:type="dxa"/>
        </w:tcPr>
        <w:p w:rsidR="00720615" w:rsidRDefault="00113F07" w:rsidP="00113F07">
          <w:pPr>
            <w:widowControl/>
            <w:tabs>
              <w:tab w:val="clear" w:pos="426"/>
              <w:tab w:val="clear" w:pos="851"/>
              <w:tab w:val="clear" w:pos="1276"/>
              <w:tab w:val="clear" w:pos="1701"/>
              <w:tab w:val="clear" w:pos="2127"/>
              <w:tab w:val="clear" w:pos="2552"/>
              <w:tab w:val="clear" w:pos="2977"/>
              <w:tab w:val="left" w:pos="9071"/>
            </w:tabs>
            <w:jc w:val="center"/>
            <w:rPr>
              <w:rFonts w:ascii="Times" w:hAnsi="Times"/>
            </w:rPr>
          </w:pPr>
          <w:r>
            <w:rPr>
              <w:rFonts w:ascii="Times" w:hAnsi="Times"/>
            </w:rPr>
            <w:t>vom</w:t>
          </w:r>
          <w:r w:rsidR="00720615">
            <w:rPr>
              <w:rFonts w:ascii="Times" w:hAnsi="Times"/>
            </w:rPr>
            <w:t xml:space="preserve"> 0</w:t>
          </w:r>
          <w:r>
            <w:rPr>
              <w:rFonts w:ascii="Times" w:hAnsi="Times"/>
            </w:rPr>
            <w:t>5</w:t>
          </w:r>
          <w:r w:rsidR="00720615">
            <w:rPr>
              <w:rFonts w:ascii="Times" w:hAnsi="Times"/>
            </w:rPr>
            <w:t>.</w:t>
          </w:r>
          <w:r>
            <w:rPr>
              <w:rFonts w:ascii="Times" w:hAnsi="Times"/>
            </w:rPr>
            <w:t xml:space="preserve"> bis </w:t>
          </w:r>
          <w:r w:rsidR="00720615">
            <w:rPr>
              <w:rFonts w:ascii="Times" w:hAnsi="Times"/>
            </w:rPr>
            <w:t xml:space="preserve">07.12.12 </w:t>
          </w:r>
          <w:r w:rsidR="00720615" w:rsidRPr="00490CBF">
            <w:rPr>
              <w:rFonts w:ascii="Times New Roman" w:hAnsi="Times New Roman"/>
            </w:rPr>
            <w:t>in Rostock-Warnemünde</w:t>
          </w:r>
        </w:p>
      </w:tc>
    </w:tr>
  </w:tbl>
  <w:p w:rsidR="00720615" w:rsidRDefault="00720615" w:rsidP="001A7BEF">
    <w:pPr>
      <w:pStyle w:val="Kopfzeile"/>
      <w:jc w:val="center"/>
    </w:pPr>
    <w:r>
      <w:t>(</w:t>
    </w:r>
    <w:r w:rsidR="00113F07">
      <w:t>Beratung am</w:t>
    </w:r>
    <w:r>
      <w:t xml:space="preserve"> 05.12.12)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20615"/>
    <w:rsid w:val="000B0C22"/>
    <w:rsid w:val="00113F07"/>
    <w:rsid w:val="001707D6"/>
    <w:rsid w:val="001A7BEF"/>
    <w:rsid w:val="00467223"/>
    <w:rsid w:val="00512833"/>
    <w:rsid w:val="00720615"/>
    <w:rsid w:val="00870583"/>
    <w:rsid w:val="008A20AF"/>
    <w:rsid w:val="00A86902"/>
    <w:rsid w:val="00D6468A"/>
    <w:rsid w:val="00EF182B"/>
    <w:rsid w:val="00F12C2B"/>
    <w:rsid w:val="00F606E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0615"/>
    <w:pPr>
      <w:widowControl w:val="0"/>
      <w:tabs>
        <w:tab w:val="left" w:pos="426"/>
        <w:tab w:val="left" w:pos="851"/>
        <w:tab w:val="left" w:pos="1276"/>
        <w:tab w:val="left" w:pos="1701"/>
        <w:tab w:val="left" w:pos="2127"/>
        <w:tab w:val="left" w:pos="2552"/>
        <w:tab w:val="left" w:pos="2977"/>
      </w:tabs>
      <w:spacing w:before="120" w:after="0" w:line="240" w:lineRule="auto"/>
      <w:jc w:val="both"/>
    </w:pPr>
    <w:rPr>
      <w:rFonts w:ascii="Arial" w:eastAsia="Times New Roman" w:hAnsi="Arial" w:cs="Times New Roman"/>
      <w:snapToGrid w:val="0"/>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Umschlagabsenderadresse">
    <w:name w:val="envelope return"/>
    <w:basedOn w:val="Standard"/>
    <w:uiPriority w:val="99"/>
    <w:semiHidden/>
    <w:unhideWhenUsed/>
    <w:rsid w:val="00F606E8"/>
    <w:pPr>
      <w:widowControl/>
      <w:tabs>
        <w:tab w:val="clear" w:pos="426"/>
        <w:tab w:val="clear" w:pos="851"/>
        <w:tab w:val="clear" w:pos="1276"/>
        <w:tab w:val="clear" w:pos="1701"/>
        <w:tab w:val="clear" w:pos="2127"/>
        <w:tab w:val="clear" w:pos="2552"/>
        <w:tab w:val="clear" w:pos="2977"/>
      </w:tabs>
      <w:spacing w:before="0"/>
      <w:jc w:val="left"/>
    </w:pPr>
    <w:rPr>
      <w:rFonts w:ascii="Tempus Sans ITC" w:eastAsiaTheme="majorEastAsia" w:hAnsi="Tempus Sans ITC" w:cstheme="majorBidi"/>
      <w:i/>
      <w:snapToGrid/>
      <w:sz w:val="20"/>
      <w:lang w:eastAsia="en-US"/>
    </w:rPr>
  </w:style>
  <w:style w:type="paragraph" w:styleId="Kopfzeile">
    <w:name w:val="header"/>
    <w:basedOn w:val="Standard"/>
    <w:link w:val="KopfzeileZchn"/>
    <w:uiPriority w:val="99"/>
    <w:unhideWhenUsed/>
    <w:rsid w:val="00720615"/>
    <w:pPr>
      <w:tabs>
        <w:tab w:val="clear" w:pos="426"/>
        <w:tab w:val="clear" w:pos="851"/>
        <w:tab w:val="clear" w:pos="1276"/>
        <w:tab w:val="clear" w:pos="1701"/>
        <w:tab w:val="clear" w:pos="2127"/>
        <w:tab w:val="clear" w:pos="2552"/>
        <w:tab w:val="clear" w:pos="2977"/>
        <w:tab w:val="center" w:pos="4536"/>
        <w:tab w:val="right" w:pos="9072"/>
      </w:tabs>
      <w:spacing w:before="0"/>
    </w:pPr>
  </w:style>
  <w:style w:type="character" w:customStyle="1" w:styleId="KopfzeileZchn">
    <w:name w:val="Kopfzeile Zchn"/>
    <w:basedOn w:val="Absatz-Standardschriftart"/>
    <w:link w:val="Kopfzeile"/>
    <w:uiPriority w:val="99"/>
    <w:rsid w:val="00720615"/>
    <w:rPr>
      <w:rFonts w:ascii="Arial" w:eastAsia="Times New Roman" w:hAnsi="Arial" w:cs="Times New Roman"/>
      <w:snapToGrid w:val="0"/>
      <w:sz w:val="24"/>
      <w:szCs w:val="20"/>
      <w:lang w:eastAsia="de-DE"/>
    </w:rPr>
  </w:style>
  <w:style w:type="paragraph" w:styleId="Fuzeile">
    <w:name w:val="footer"/>
    <w:basedOn w:val="Standard"/>
    <w:link w:val="FuzeileZchn"/>
    <w:uiPriority w:val="99"/>
    <w:semiHidden/>
    <w:unhideWhenUsed/>
    <w:rsid w:val="00720615"/>
    <w:pPr>
      <w:tabs>
        <w:tab w:val="clear" w:pos="426"/>
        <w:tab w:val="clear" w:pos="851"/>
        <w:tab w:val="clear" w:pos="1276"/>
        <w:tab w:val="clear" w:pos="1701"/>
        <w:tab w:val="clear" w:pos="2127"/>
        <w:tab w:val="clear" w:pos="2552"/>
        <w:tab w:val="clear" w:pos="2977"/>
        <w:tab w:val="center" w:pos="4536"/>
        <w:tab w:val="right" w:pos="9072"/>
      </w:tabs>
      <w:spacing w:before="0"/>
    </w:pPr>
  </w:style>
  <w:style w:type="character" w:customStyle="1" w:styleId="FuzeileZchn">
    <w:name w:val="Fußzeile Zchn"/>
    <w:basedOn w:val="Absatz-Standardschriftart"/>
    <w:link w:val="Fuzeile"/>
    <w:uiPriority w:val="99"/>
    <w:semiHidden/>
    <w:rsid w:val="00720615"/>
    <w:rPr>
      <w:rFonts w:ascii="Arial" w:eastAsia="Times New Roman" w:hAnsi="Arial" w:cs="Times New Roman"/>
      <w:snapToGrid w:val="0"/>
      <w:sz w:val="24"/>
      <w:szCs w:val="20"/>
      <w:lang w:eastAsia="de-DE"/>
    </w:rPr>
  </w:style>
  <w:style w:type="paragraph" w:styleId="Sprechblasentext">
    <w:name w:val="Balloon Text"/>
    <w:basedOn w:val="Standard"/>
    <w:link w:val="SprechblasentextZchn"/>
    <w:uiPriority w:val="99"/>
    <w:semiHidden/>
    <w:unhideWhenUsed/>
    <w:rsid w:val="00720615"/>
    <w:pPr>
      <w:spacing w:before="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0615"/>
    <w:rPr>
      <w:rFonts w:ascii="Tahoma" w:eastAsia="Times New Roman" w:hAnsi="Tahoma" w:cs="Tahoma"/>
      <w:snapToGrid w:val="0"/>
      <w:sz w:val="16"/>
      <w:szCs w:val="16"/>
      <w:lang w:eastAsia="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791</Words>
  <Characters>4989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Heike &amp; Stephan Haferburg</dc:creator>
  <cp:lastModifiedBy>Mitarbeiter</cp:lastModifiedBy>
  <cp:revision>5</cp:revision>
  <cp:lastPrinted>2012-12-05T16:36:00Z</cp:lastPrinted>
  <dcterms:created xsi:type="dcterms:W3CDTF">2012-12-05T15:52:00Z</dcterms:created>
  <dcterms:modified xsi:type="dcterms:W3CDTF">2012-12-05T16:37:00Z</dcterms:modified>
</cp:coreProperties>
</file>